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846" w:rsidRDefault="00B85B4D">
      <w:r w:rsidRPr="002F7294">
        <w:rPr>
          <w:noProof/>
          <w:sz w:val="20"/>
          <w:szCs w:val="26"/>
        </w:rPr>
        <w:drawing>
          <wp:inline distT="0" distB="0" distL="0" distR="0" wp14:anchorId="3A3B0DC0" wp14:editId="068B5E96">
            <wp:extent cx="2211388" cy="790575"/>
            <wp:effectExtent l="0" t="0" r="0" b="0"/>
            <wp:docPr id="2" name="Picture 2" descr="C:\Users\victoria.saraceno\Desktop\CFK_HORIZONTAL_2c.jpg" title="The College of the Florida Ke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saraceno\Desktop\CFK_HORIZONTAL_2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3558" cy="819951"/>
                    </a:xfrm>
                    <a:prstGeom prst="rect">
                      <a:avLst/>
                    </a:prstGeom>
                    <a:noFill/>
                    <a:ln>
                      <a:noFill/>
                    </a:ln>
                  </pic:spPr>
                </pic:pic>
              </a:graphicData>
            </a:graphic>
          </wp:inline>
        </w:drawing>
      </w:r>
    </w:p>
    <w:p w:rsidR="004E3BE7" w:rsidRDefault="004E3BE7"/>
    <w:p w:rsidR="00B85B4D" w:rsidRPr="004E3BE7" w:rsidRDefault="004E3BE7" w:rsidP="004E3BE7">
      <w:pPr>
        <w:jc w:val="center"/>
        <w:rPr>
          <w:b/>
          <w:sz w:val="28"/>
          <w:szCs w:val="28"/>
        </w:rPr>
      </w:pPr>
      <w:r w:rsidRPr="004E3BE7">
        <w:rPr>
          <w:b/>
          <w:sz w:val="28"/>
          <w:szCs w:val="28"/>
        </w:rPr>
        <w:t>Return of Title IV</w:t>
      </w:r>
      <w:bookmarkStart w:id="0" w:name="_GoBack"/>
      <w:bookmarkEnd w:id="0"/>
    </w:p>
    <w:p w:rsidR="00F27629" w:rsidRPr="004E3BE7" w:rsidRDefault="00F27629" w:rsidP="00F27629">
      <w:pPr>
        <w:rPr>
          <w:rFonts w:cstheme="minorHAnsi"/>
          <w:sz w:val="24"/>
          <w:szCs w:val="24"/>
        </w:rPr>
      </w:pPr>
      <w:r w:rsidRPr="004E3BE7">
        <w:rPr>
          <w:rFonts w:eastAsia="Times New Roman" w:cstheme="minorHAnsi"/>
          <w:sz w:val="24"/>
          <w:szCs w:val="24"/>
        </w:rPr>
        <w:t xml:space="preserve">The Return of Title IV (R2T4) funds are administered by </w:t>
      </w:r>
      <w:r w:rsidRPr="004E3BE7">
        <w:rPr>
          <w:rFonts w:cstheme="minorHAnsi"/>
          <w:sz w:val="24"/>
          <w:szCs w:val="24"/>
        </w:rPr>
        <w:t xml:space="preserve">The Office of Financial Aid &amp; Veteran Affairs </w:t>
      </w:r>
      <w:r w:rsidRPr="004E3BE7">
        <w:rPr>
          <w:rFonts w:eastAsia="Times New Roman" w:cstheme="minorHAnsi"/>
          <w:sz w:val="24"/>
          <w:szCs w:val="24"/>
        </w:rPr>
        <w:t xml:space="preserve">at The College of the Florida Keys.  This policy applies to all students, who receive any federal financial aid and are enrolled and subsequently either drops courses, withdrawals and/or are reported as a ‘No Show’ during the semester or at the end of semester. R2T4 Policy applies to all periods of enrollment: Fall, Spring, and Summer.  </w:t>
      </w:r>
    </w:p>
    <w:p w:rsidR="00F27629" w:rsidRPr="004E3BE7" w:rsidRDefault="00F27629" w:rsidP="00F27629">
      <w:pPr>
        <w:rPr>
          <w:rFonts w:eastAsia="Times New Roman" w:cstheme="minorHAnsi"/>
          <w:bCs/>
          <w:sz w:val="24"/>
          <w:szCs w:val="24"/>
        </w:rPr>
      </w:pPr>
      <w:r w:rsidRPr="004E3BE7">
        <w:rPr>
          <w:rFonts w:cstheme="minorHAnsi"/>
          <w:sz w:val="24"/>
          <w:szCs w:val="24"/>
        </w:rPr>
        <w:t xml:space="preserve">The Office of Financial Aid &amp; Veteran Affairs </w:t>
      </w:r>
      <w:r w:rsidRPr="004E3BE7">
        <w:rPr>
          <w:rFonts w:eastAsia="Times New Roman" w:cstheme="minorHAnsi"/>
          <w:bCs/>
          <w:sz w:val="24"/>
          <w:szCs w:val="24"/>
        </w:rPr>
        <w:t>is required by federal regulations to recalculate federal financial aid eligibility for students who withdraw from all courses, prior to completing 60% of a term.  Recalculation is based on the percentage of earned aid using the following Federal Return of Title IV funds formula:</w:t>
      </w:r>
    </w:p>
    <w:p w:rsidR="00F27629" w:rsidRPr="004E3BE7" w:rsidRDefault="00F27629" w:rsidP="00F27629">
      <w:pPr>
        <w:spacing w:before="100" w:beforeAutospacing="1" w:after="100" w:afterAutospacing="1" w:line="240" w:lineRule="auto"/>
        <w:rPr>
          <w:rFonts w:eastAsia="Times New Roman" w:cstheme="minorHAnsi"/>
          <w:sz w:val="24"/>
          <w:szCs w:val="24"/>
          <w:u w:val="single"/>
        </w:rPr>
      </w:pPr>
      <w:r w:rsidRPr="004E3BE7">
        <w:rPr>
          <w:rFonts w:eastAsia="Times New Roman" w:cstheme="minorHAnsi"/>
          <w:b/>
          <w:bCs/>
          <w:sz w:val="24"/>
          <w:szCs w:val="24"/>
          <w:u w:val="single"/>
        </w:rPr>
        <w:t>Definition of a Title IV Recipient</w:t>
      </w:r>
    </w:p>
    <w:p w:rsidR="00F27629" w:rsidRPr="004E3BE7" w:rsidRDefault="00F27629" w:rsidP="00F27629">
      <w:pPr>
        <w:spacing w:before="100" w:beforeAutospacing="1" w:after="100" w:afterAutospacing="1" w:line="240" w:lineRule="auto"/>
        <w:rPr>
          <w:rFonts w:eastAsia="Times New Roman" w:cstheme="minorHAnsi"/>
          <w:sz w:val="24"/>
          <w:szCs w:val="24"/>
        </w:rPr>
      </w:pPr>
      <w:r w:rsidRPr="004E3BE7">
        <w:rPr>
          <w:rFonts w:eastAsia="Times New Roman" w:cstheme="minorHAnsi"/>
          <w:sz w:val="24"/>
          <w:szCs w:val="24"/>
        </w:rPr>
        <w:t>A recipient of grant or loan assistance is a student who has received Title IV funds or has met the conditions that entitle the student to a late disbursement. Students must have a valid FAFSA on file before the withdrawal date in order to be considered for the Return of Title IV calculation.</w:t>
      </w:r>
    </w:p>
    <w:p w:rsidR="00F27629" w:rsidRPr="004E3BE7" w:rsidRDefault="00F27629" w:rsidP="00F27629">
      <w:pPr>
        <w:spacing w:before="100" w:beforeAutospacing="1" w:after="100" w:afterAutospacing="1" w:line="240" w:lineRule="auto"/>
        <w:rPr>
          <w:rFonts w:eastAsia="Times New Roman" w:cstheme="minorHAnsi"/>
          <w:sz w:val="24"/>
          <w:szCs w:val="24"/>
        </w:rPr>
      </w:pPr>
      <w:r w:rsidRPr="004E3BE7">
        <w:rPr>
          <w:rFonts w:eastAsia="Times New Roman" w:cstheme="minorHAnsi"/>
          <w:sz w:val="24"/>
          <w:szCs w:val="24"/>
        </w:rPr>
        <w:t>Title IV funds which must be included in the refund calculations are listed in the priority order of their return as follows:</w:t>
      </w:r>
    </w:p>
    <w:p w:rsidR="00F27629" w:rsidRPr="004E3BE7" w:rsidRDefault="00F27629" w:rsidP="00F27629">
      <w:pPr>
        <w:numPr>
          <w:ilvl w:val="0"/>
          <w:numId w:val="1"/>
        </w:numPr>
        <w:spacing w:before="100" w:beforeAutospacing="1" w:after="100" w:afterAutospacing="1" w:line="240" w:lineRule="auto"/>
        <w:jc w:val="both"/>
        <w:rPr>
          <w:rFonts w:eastAsia="Times New Roman" w:cstheme="minorHAnsi"/>
          <w:sz w:val="24"/>
          <w:szCs w:val="24"/>
        </w:rPr>
      </w:pPr>
      <w:r w:rsidRPr="004E3BE7">
        <w:rPr>
          <w:rFonts w:eastAsia="Times New Roman" w:cstheme="minorHAnsi"/>
          <w:sz w:val="24"/>
          <w:szCs w:val="24"/>
        </w:rPr>
        <w:t>Direct Unsubsidized Stafford loans;</w:t>
      </w:r>
    </w:p>
    <w:p w:rsidR="00F27629" w:rsidRPr="004E3BE7" w:rsidRDefault="00F27629" w:rsidP="00F27629">
      <w:pPr>
        <w:numPr>
          <w:ilvl w:val="0"/>
          <w:numId w:val="1"/>
        </w:numPr>
        <w:spacing w:before="100" w:beforeAutospacing="1" w:after="100" w:afterAutospacing="1" w:line="240" w:lineRule="auto"/>
        <w:jc w:val="both"/>
        <w:rPr>
          <w:rFonts w:eastAsia="Times New Roman" w:cstheme="minorHAnsi"/>
          <w:sz w:val="24"/>
          <w:szCs w:val="24"/>
        </w:rPr>
      </w:pPr>
      <w:r w:rsidRPr="004E3BE7">
        <w:rPr>
          <w:rFonts w:eastAsia="Times New Roman" w:cstheme="minorHAnsi"/>
          <w:sz w:val="24"/>
          <w:szCs w:val="24"/>
        </w:rPr>
        <w:t>Direct Subsidized Stafford loans;</w:t>
      </w:r>
    </w:p>
    <w:p w:rsidR="00F27629" w:rsidRPr="004E3BE7" w:rsidRDefault="00F27629" w:rsidP="00F27629">
      <w:pPr>
        <w:numPr>
          <w:ilvl w:val="0"/>
          <w:numId w:val="1"/>
        </w:numPr>
        <w:spacing w:before="100" w:beforeAutospacing="1" w:after="100" w:afterAutospacing="1" w:line="240" w:lineRule="auto"/>
        <w:jc w:val="both"/>
        <w:rPr>
          <w:rFonts w:eastAsia="Times New Roman" w:cstheme="minorHAnsi"/>
          <w:sz w:val="24"/>
          <w:szCs w:val="24"/>
        </w:rPr>
      </w:pPr>
      <w:r w:rsidRPr="004E3BE7">
        <w:rPr>
          <w:rFonts w:eastAsia="Times New Roman" w:cstheme="minorHAnsi"/>
          <w:sz w:val="24"/>
          <w:szCs w:val="24"/>
        </w:rPr>
        <w:t>Direct PLUS loans;</w:t>
      </w:r>
    </w:p>
    <w:p w:rsidR="00F27629" w:rsidRPr="004E3BE7" w:rsidRDefault="00F27629" w:rsidP="00F27629">
      <w:pPr>
        <w:numPr>
          <w:ilvl w:val="0"/>
          <w:numId w:val="1"/>
        </w:numPr>
        <w:spacing w:before="100" w:beforeAutospacing="1" w:after="100" w:afterAutospacing="1" w:line="240" w:lineRule="auto"/>
        <w:jc w:val="both"/>
        <w:rPr>
          <w:rFonts w:eastAsia="Times New Roman" w:cstheme="minorHAnsi"/>
          <w:sz w:val="24"/>
          <w:szCs w:val="24"/>
        </w:rPr>
      </w:pPr>
      <w:r w:rsidRPr="004E3BE7">
        <w:rPr>
          <w:rFonts w:eastAsia="Times New Roman" w:cstheme="minorHAnsi"/>
          <w:sz w:val="24"/>
          <w:szCs w:val="24"/>
        </w:rPr>
        <w:t>Pell Grants;</w:t>
      </w:r>
    </w:p>
    <w:p w:rsidR="00F27629" w:rsidRPr="004E3BE7" w:rsidRDefault="00F27629" w:rsidP="00F27629">
      <w:pPr>
        <w:numPr>
          <w:ilvl w:val="0"/>
          <w:numId w:val="1"/>
        </w:numPr>
        <w:spacing w:before="100" w:beforeAutospacing="1" w:after="100" w:afterAutospacing="1" w:line="240" w:lineRule="auto"/>
        <w:jc w:val="both"/>
        <w:rPr>
          <w:rFonts w:eastAsia="Times New Roman" w:cstheme="minorHAnsi"/>
          <w:sz w:val="24"/>
          <w:szCs w:val="24"/>
        </w:rPr>
      </w:pPr>
      <w:r w:rsidRPr="004E3BE7">
        <w:rPr>
          <w:rFonts w:eastAsia="Times New Roman" w:cstheme="minorHAnsi"/>
          <w:sz w:val="24"/>
          <w:szCs w:val="24"/>
        </w:rPr>
        <w:t>Federal Supplemental Educational Opportunity Grant (FSEOG)</w:t>
      </w:r>
    </w:p>
    <w:p w:rsidR="00F27629" w:rsidRPr="004E3BE7" w:rsidRDefault="00F27629" w:rsidP="00F27629">
      <w:pPr>
        <w:numPr>
          <w:ilvl w:val="0"/>
          <w:numId w:val="1"/>
        </w:numPr>
        <w:spacing w:before="100" w:beforeAutospacing="1" w:after="100" w:afterAutospacing="1" w:line="240" w:lineRule="auto"/>
        <w:jc w:val="both"/>
        <w:rPr>
          <w:rFonts w:eastAsia="Times New Roman" w:cstheme="minorHAnsi"/>
          <w:sz w:val="24"/>
          <w:szCs w:val="24"/>
        </w:rPr>
      </w:pPr>
      <w:r w:rsidRPr="004E3BE7">
        <w:rPr>
          <w:rFonts w:eastAsia="Times New Roman" w:cstheme="minorHAnsi"/>
          <w:sz w:val="24"/>
          <w:szCs w:val="24"/>
        </w:rPr>
        <w:t>Other Title IV Assistance</w:t>
      </w:r>
    </w:p>
    <w:p w:rsidR="00F27629" w:rsidRPr="004E3BE7" w:rsidRDefault="00F27629" w:rsidP="00F27629">
      <w:pPr>
        <w:spacing w:before="100" w:beforeAutospacing="1" w:after="100" w:afterAutospacing="1" w:line="240" w:lineRule="auto"/>
        <w:rPr>
          <w:rFonts w:eastAsia="Times New Roman" w:cstheme="minorHAnsi"/>
          <w:sz w:val="24"/>
          <w:szCs w:val="24"/>
        </w:rPr>
      </w:pPr>
      <w:r w:rsidRPr="004E3BE7">
        <w:rPr>
          <w:rFonts w:eastAsia="Times New Roman" w:cstheme="minorHAnsi"/>
          <w:sz w:val="24"/>
          <w:szCs w:val="24"/>
        </w:rPr>
        <w:t>The institution does not participate in the Perkins loans programs.</w:t>
      </w:r>
    </w:p>
    <w:p w:rsidR="00F27629" w:rsidRPr="004E3BE7" w:rsidRDefault="00F27629" w:rsidP="00F27629">
      <w:pPr>
        <w:tabs>
          <w:tab w:val="left" w:pos="-1080"/>
          <w:tab w:val="left" w:pos="-720"/>
          <w:tab w:val="left" w:pos="0"/>
          <w:tab w:val="left" w:pos="540"/>
          <w:tab w:val="left" w:pos="1080"/>
          <w:tab w:val="left" w:pos="1980"/>
          <w:tab w:val="left" w:pos="2520"/>
          <w:tab w:val="left" w:pos="3060"/>
        </w:tabs>
        <w:spacing w:after="0" w:line="240" w:lineRule="auto"/>
        <w:jc w:val="both"/>
        <w:rPr>
          <w:rFonts w:eastAsia="Times New Roman" w:cstheme="minorHAnsi"/>
          <w:b/>
          <w:sz w:val="24"/>
          <w:szCs w:val="24"/>
          <w:u w:val="single"/>
        </w:rPr>
      </w:pPr>
      <w:r w:rsidRPr="004E3BE7">
        <w:rPr>
          <w:rFonts w:eastAsia="Times New Roman" w:cstheme="minorHAnsi"/>
          <w:b/>
          <w:sz w:val="24"/>
          <w:szCs w:val="24"/>
          <w:u w:val="single"/>
        </w:rPr>
        <w:t>Withdrawal Date:</w:t>
      </w:r>
    </w:p>
    <w:p w:rsidR="00F27629" w:rsidRPr="004E3BE7" w:rsidRDefault="00F27629" w:rsidP="00F27629">
      <w:pPr>
        <w:tabs>
          <w:tab w:val="left" w:pos="-1080"/>
          <w:tab w:val="left" w:pos="-720"/>
          <w:tab w:val="left" w:pos="0"/>
          <w:tab w:val="left" w:pos="540"/>
          <w:tab w:val="left" w:pos="1080"/>
          <w:tab w:val="left" w:pos="1980"/>
          <w:tab w:val="left" w:pos="2520"/>
          <w:tab w:val="left" w:pos="3060"/>
        </w:tabs>
        <w:spacing w:after="0" w:line="240" w:lineRule="auto"/>
        <w:jc w:val="both"/>
        <w:rPr>
          <w:rFonts w:eastAsia="Times New Roman" w:cstheme="minorHAnsi"/>
          <w:sz w:val="24"/>
          <w:szCs w:val="24"/>
        </w:rPr>
      </w:pPr>
    </w:p>
    <w:p w:rsidR="00F27629" w:rsidRPr="004E3BE7" w:rsidRDefault="00F27629" w:rsidP="00F27629">
      <w:pPr>
        <w:tabs>
          <w:tab w:val="left" w:pos="-1080"/>
          <w:tab w:val="left" w:pos="-720"/>
          <w:tab w:val="left" w:pos="0"/>
          <w:tab w:val="left" w:pos="540"/>
          <w:tab w:val="left" w:pos="1080"/>
          <w:tab w:val="left" w:pos="1980"/>
          <w:tab w:val="left" w:pos="2520"/>
          <w:tab w:val="left" w:pos="3060"/>
        </w:tabs>
        <w:spacing w:after="0" w:line="240" w:lineRule="auto"/>
        <w:jc w:val="both"/>
        <w:rPr>
          <w:rFonts w:eastAsia="Times New Roman" w:cstheme="minorHAnsi"/>
          <w:sz w:val="24"/>
          <w:szCs w:val="24"/>
        </w:rPr>
      </w:pPr>
      <w:r w:rsidRPr="004E3BE7">
        <w:rPr>
          <w:rFonts w:eastAsia="Times New Roman" w:cstheme="minorHAnsi"/>
          <w:sz w:val="24"/>
          <w:szCs w:val="24"/>
        </w:rPr>
        <w:t xml:space="preserve">The withdrawal date is determined by the Enrollment Services based on the form submitted by the student or the instructor. Students are responsible to notify Enrollment Services of their intent to withdraw from their courses or instructors inform Enrollment services of No Show students. </w:t>
      </w:r>
    </w:p>
    <w:p w:rsidR="00F27629" w:rsidRPr="004E3BE7" w:rsidRDefault="00F27629" w:rsidP="00F27629">
      <w:pPr>
        <w:tabs>
          <w:tab w:val="left" w:pos="-1080"/>
          <w:tab w:val="left" w:pos="-720"/>
          <w:tab w:val="left" w:pos="0"/>
          <w:tab w:val="left" w:pos="540"/>
          <w:tab w:val="left" w:pos="1080"/>
          <w:tab w:val="left" w:pos="1980"/>
          <w:tab w:val="left" w:pos="2520"/>
          <w:tab w:val="left" w:pos="3060"/>
        </w:tabs>
        <w:spacing w:after="0" w:line="240" w:lineRule="auto"/>
        <w:jc w:val="both"/>
        <w:rPr>
          <w:rFonts w:eastAsia="Times New Roman" w:cstheme="minorHAnsi"/>
          <w:sz w:val="24"/>
          <w:szCs w:val="24"/>
        </w:rPr>
      </w:pPr>
    </w:p>
    <w:p w:rsidR="00F27629" w:rsidRPr="004E3BE7" w:rsidRDefault="00F27629" w:rsidP="00F27629">
      <w:pPr>
        <w:tabs>
          <w:tab w:val="left" w:pos="-1080"/>
          <w:tab w:val="left" w:pos="-720"/>
          <w:tab w:val="left" w:pos="0"/>
          <w:tab w:val="left" w:pos="540"/>
          <w:tab w:val="left" w:pos="1080"/>
          <w:tab w:val="left" w:pos="1980"/>
          <w:tab w:val="left" w:pos="2520"/>
          <w:tab w:val="left" w:pos="3060"/>
        </w:tabs>
        <w:spacing w:after="0" w:line="240" w:lineRule="auto"/>
        <w:jc w:val="both"/>
        <w:rPr>
          <w:rFonts w:eastAsia="Times New Roman" w:cstheme="minorHAnsi"/>
          <w:b/>
          <w:sz w:val="24"/>
          <w:szCs w:val="24"/>
          <w:u w:val="single"/>
        </w:rPr>
      </w:pPr>
      <w:r w:rsidRPr="004E3BE7">
        <w:rPr>
          <w:rFonts w:eastAsia="Times New Roman" w:cstheme="minorHAnsi"/>
          <w:b/>
          <w:sz w:val="24"/>
          <w:szCs w:val="24"/>
          <w:u w:val="single"/>
        </w:rPr>
        <w:t>Types of Withdrawals:</w:t>
      </w:r>
    </w:p>
    <w:p w:rsidR="00F27629" w:rsidRPr="004E3BE7" w:rsidRDefault="00F27629" w:rsidP="00F27629">
      <w:pPr>
        <w:tabs>
          <w:tab w:val="left" w:pos="-1080"/>
          <w:tab w:val="left" w:pos="-720"/>
          <w:tab w:val="left" w:pos="0"/>
          <w:tab w:val="left" w:pos="540"/>
          <w:tab w:val="left" w:pos="1080"/>
          <w:tab w:val="left" w:pos="1980"/>
          <w:tab w:val="left" w:pos="2520"/>
          <w:tab w:val="left" w:pos="3060"/>
        </w:tabs>
        <w:spacing w:after="0" w:line="240" w:lineRule="auto"/>
        <w:jc w:val="both"/>
        <w:rPr>
          <w:rFonts w:eastAsia="Times New Roman" w:cstheme="minorHAnsi"/>
          <w:sz w:val="24"/>
          <w:szCs w:val="24"/>
        </w:rPr>
      </w:pPr>
    </w:p>
    <w:p w:rsidR="00F27629" w:rsidRPr="004E3BE7" w:rsidRDefault="00F27629" w:rsidP="00F27629">
      <w:pPr>
        <w:tabs>
          <w:tab w:val="left" w:pos="-1080"/>
          <w:tab w:val="left" w:pos="-720"/>
          <w:tab w:val="left" w:pos="0"/>
          <w:tab w:val="left" w:pos="540"/>
          <w:tab w:val="left" w:pos="1080"/>
          <w:tab w:val="left" w:pos="1980"/>
          <w:tab w:val="left" w:pos="2520"/>
          <w:tab w:val="left" w:pos="3060"/>
        </w:tabs>
        <w:spacing w:after="0" w:line="240" w:lineRule="auto"/>
        <w:jc w:val="both"/>
        <w:rPr>
          <w:rFonts w:eastAsia="Times New Roman" w:cstheme="minorHAnsi"/>
          <w:b/>
          <w:sz w:val="24"/>
          <w:szCs w:val="24"/>
          <w:u w:val="single"/>
        </w:rPr>
      </w:pPr>
      <w:r w:rsidRPr="004E3BE7">
        <w:rPr>
          <w:rFonts w:eastAsia="Times New Roman" w:cstheme="minorHAnsi"/>
          <w:b/>
          <w:sz w:val="24"/>
          <w:szCs w:val="24"/>
        </w:rPr>
        <w:t>Official Withdrawal</w:t>
      </w:r>
    </w:p>
    <w:p w:rsidR="00F27629" w:rsidRPr="004E3BE7" w:rsidRDefault="00F27629" w:rsidP="00F27629">
      <w:pPr>
        <w:tabs>
          <w:tab w:val="left" w:pos="-1080"/>
          <w:tab w:val="left" w:pos="-720"/>
          <w:tab w:val="left" w:pos="0"/>
          <w:tab w:val="left" w:pos="540"/>
          <w:tab w:val="left" w:pos="1080"/>
          <w:tab w:val="left" w:pos="1980"/>
          <w:tab w:val="left" w:pos="2520"/>
          <w:tab w:val="left" w:pos="3060"/>
        </w:tabs>
        <w:spacing w:after="0" w:line="240" w:lineRule="auto"/>
        <w:jc w:val="both"/>
        <w:rPr>
          <w:rFonts w:eastAsia="Times New Roman" w:cstheme="minorHAnsi"/>
          <w:sz w:val="24"/>
          <w:szCs w:val="24"/>
        </w:rPr>
      </w:pPr>
      <w:r w:rsidRPr="004E3BE7">
        <w:rPr>
          <w:rFonts w:eastAsia="Times New Roman" w:cstheme="minorHAnsi"/>
          <w:sz w:val="24"/>
          <w:szCs w:val="24"/>
        </w:rPr>
        <w:t>A student may withdraw from any or all courses without the academic penalty of a "WI,” “WO,” “</w:t>
      </w:r>
      <w:r w:rsidR="004E3BE7">
        <w:rPr>
          <w:rFonts w:eastAsia="Times New Roman" w:cstheme="minorHAnsi"/>
          <w:sz w:val="24"/>
          <w:szCs w:val="24"/>
        </w:rPr>
        <w:t xml:space="preserve">WW,” </w:t>
      </w:r>
      <w:r w:rsidRPr="004E3BE7">
        <w:rPr>
          <w:rFonts w:eastAsia="Times New Roman" w:cstheme="minorHAnsi"/>
          <w:sz w:val="24"/>
          <w:szCs w:val="24"/>
        </w:rPr>
        <w:t>“WD,” “WP,” and WM grade by the withdrawal deadline as listed in The College of the Florida Keys academic calendar.</w:t>
      </w:r>
    </w:p>
    <w:p w:rsidR="00F27629" w:rsidRPr="004E3BE7" w:rsidRDefault="00F27629" w:rsidP="00F27629">
      <w:pPr>
        <w:tabs>
          <w:tab w:val="left" w:pos="-1080"/>
          <w:tab w:val="left" w:pos="-720"/>
          <w:tab w:val="left" w:pos="0"/>
          <w:tab w:val="left" w:pos="540"/>
          <w:tab w:val="left" w:pos="1080"/>
          <w:tab w:val="left" w:pos="1980"/>
          <w:tab w:val="left" w:pos="2520"/>
          <w:tab w:val="left" w:pos="3060"/>
        </w:tabs>
        <w:spacing w:after="0" w:line="240" w:lineRule="auto"/>
        <w:jc w:val="both"/>
        <w:rPr>
          <w:rFonts w:eastAsia="Times New Roman" w:cstheme="minorHAnsi"/>
          <w:b/>
          <w:sz w:val="24"/>
          <w:szCs w:val="24"/>
        </w:rPr>
      </w:pPr>
    </w:p>
    <w:p w:rsidR="00F27629" w:rsidRPr="004E3BE7" w:rsidRDefault="00F27629" w:rsidP="00F27629">
      <w:pPr>
        <w:tabs>
          <w:tab w:val="left" w:pos="-1080"/>
          <w:tab w:val="left" w:pos="-720"/>
          <w:tab w:val="left" w:pos="0"/>
          <w:tab w:val="left" w:pos="540"/>
          <w:tab w:val="left" w:pos="1080"/>
          <w:tab w:val="left" w:pos="1980"/>
          <w:tab w:val="left" w:pos="2520"/>
          <w:tab w:val="left" w:pos="3060"/>
        </w:tabs>
        <w:spacing w:after="0" w:line="240" w:lineRule="auto"/>
        <w:jc w:val="both"/>
        <w:rPr>
          <w:rFonts w:eastAsia="Times New Roman" w:cstheme="minorHAnsi"/>
          <w:b/>
          <w:sz w:val="24"/>
          <w:szCs w:val="24"/>
        </w:rPr>
      </w:pPr>
      <w:r w:rsidRPr="004E3BE7">
        <w:rPr>
          <w:rFonts w:eastAsia="Times New Roman" w:cstheme="minorHAnsi"/>
          <w:b/>
          <w:sz w:val="24"/>
          <w:szCs w:val="24"/>
        </w:rPr>
        <w:t>Unofficial Withdrawal</w:t>
      </w:r>
    </w:p>
    <w:p w:rsidR="00F27629" w:rsidRPr="004E3BE7" w:rsidRDefault="00F27629" w:rsidP="00F27629">
      <w:pPr>
        <w:tabs>
          <w:tab w:val="left" w:pos="-1080"/>
          <w:tab w:val="left" w:pos="-720"/>
          <w:tab w:val="left" w:pos="0"/>
          <w:tab w:val="left" w:pos="540"/>
          <w:tab w:val="left" w:pos="1080"/>
          <w:tab w:val="left" w:pos="1980"/>
          <w:tab w:val="left" w:pos="2520"/>
          <w:tab w:val="left" w:pos="3060"/>
        </w:tabs>
        <w:spacing w:after="0" w:line="240" w:lineRule="auto"/>
        <w:jc w:val="both"/>
        <w:rPr>
          <w:rFonts w:eastAsia="Times New Roman" w:cstheme="minorHAnsi"/>
          <w:sz w:val="24"/>
          <w:szCs w:val="24"/>
        </w:rPr>
      </w:pPr>
      <w:r w:rsidRPr="004E3BE7">
        <w:rPr>
          <w:rFonts w:eastAsia="Times New Roman" w:cstheme="minorHAnsi"/>
          <w:sz w:val="24"/>
          <w:szCs w:val="24"/>
        </w:rPr>
        <w:t>Federal financial aid regulations consider a student to be an unofficial withdrawal, if the student receives all “F’s” due to non-attendance grades and/or withdraw (W) grades for the term. School must make this determination as soon as possible, but no later than 30 days after the end of the earlier period of enrollment. If student unofficially withdraws and last date of attendance has been reported, R2T4 calculation is done based on that date</w:t>
      </w:r>
      <w:bookmarkStart w:id="1" w:name="_Toc291846785"/>
      <w:r w:rsidRPr="004E3BE7">
        <w:rPr>
          <w:rFonts w:eastAsia="Times New Roman" w:cstheme="minorHAnsi"/>
          <w:sz w:val="24"/>
          <w:szCs w:val="24"/>
        </w:rPr>
        <w:t>.  For students receiving F or FN, faculty is required to enter a student’s last day of attendance at the time they issue the final grade at the completion of each term.</w:t>
      </w:r>
    </w:p>
    <w:p w:rsidR="00F27629" w:rsidRPr="004E3BE7" w:rsidRDefault="00F27629" w:rsidP="00F27629">
      <w:pPr>
        <w:tabs>
          <w:tab w:val="left" w:pos="-1080"/>
          <w:tab w:val="left" w:pos="-720"/>
          <w:tab w:val="left" w:pos="0"/>
          <w:tab w:val="left" w:pos="540"/>
          <w:tab w:val="left" w:pos="1080"/>
          <w:tab w:val="left" w:pos="1980"/>
          <w:tab w:val="left" w:pos="2520"/>
          <w:tab w:val="left" w:pos="3060"/>
        </w:tabs>
        <w:spacing w:after="0" w:line="240" w:lineRule="auto"/>
        <w:jc w:val="both"/>
        <w:rPr>
          <w:rFonts w:eastAsia="Times New Roman" w:cstheme="minorHAnsi"/>
          <w:sz w:val="24"/>
          <w:szCs w:val="24"/>
        </w:rPr>
      </w:pPr>
    </w:p>
    <w:bookmarkEnd w:id="1"/>
    <w:p w:rsidR="00F27629" w:rsidRPr="004E3BE7" w:rsidRDefault="00F27629" w:rsidP="00F27629">
      <w:pPr>
        <w:spacing w:after="0" w:line="240" w:lineRule="auto"/>
        <w:jc w:val="both"/>
        <w:rPr>
          <w:rFonts w:eastAsia="Times New Roman" w:cstheme="minorHAnsi"/>
          <w:sz w:val="24"/>
          <w:szCs w:val="24"/>
        </w:rPr>
      </w:pPr>
    </w:p>
    <w:p w:rsidR="00F27629" w:rsidRPr="004E3BE7" w:rsidRDefault="00F27629" w:rsidP="00F27629">
      <w:pPr>
        <w:shd w:val="clear" w:color="auto" w:fill="FFFFFF"/>
        <w:spacing w:after="100" w:afterAutospacing="1" w:line="240" w:lineRule="auto"/>
        <w:jc w:val="center"/>
        <w:outlineLvl w:val="2"/>
        <w:rPr>
          <w:rFonts w:eastAsia="Times New Roman" w:cstheme="minorHAnsi"/>
          <w:b/>
          <w:color w:val="000000"/>
          <w:sz w:val="24"/>
          <w:szCs w:val="24"/>
        </w:rPr>
      </w:pPr>
      <w:r w:rsidRPr="004E3BE7">
        <w:rPr>
          <w:rFonts w:eastAsia="Times New Roman" w:cstheme="minorHAnsi"/>
          <w:b/>
          <w:color w:val="000000"/>
          <w:sz w:val="24"/>
          <w:szCs w:val="24"/>
        </w:rPr>
        <w:t>The Return to Title IV Process</w:t>
      </w:r>
    </w:p>
    <w:p w:rsidR="00F27629" w:rsidRPr="004E3BE7" w:rsidRDefault="00F27629" w:rsidP="00F27629">
      <w:pPr>
        <w:shd w:val="clear" w:color="auto" w:fill="FFFFFF"/>
        <w:spacing w:before="100" w:beforeAutospacing="1" w:after="100" w:afterAutospacing="1" w:line="240" w:lineRule="auto"/>
        <w:rPr>
          <w:rFonts w:eastAsia="Times New Roman" w:cstheme="minorHAnsi"/>
          <w:color w:val="000000"/>
          <w:sz w:val="24"/>
          <w:szCs w:val="24"/>
        </w:rPr>
      </w:pPr>
      <w:r w:rsidRPr="004E3BE7">
        <w:rPr>
          <w:rFonts w:eastAsia="Times New Roman" w:cstheme="minorHAnsi"/>
          <w:color w:val="000000"/>
          <w:sz w:val="24"/>
          <w:szCs w:val="24"/>
        </w:rPr>
        <w:t>Step 1) The first step is a series of formulas to determine the amount of aid which must be returned. Following the determination of the last date of attendance, the school must calculate the number of days attended and the total number of days the student was scheduled to complete within the term; weekends count and any periods of no classes which are five days in length or greater are excluded. Days attended are then divided by the days in the term the student was scheduled to complete to calculate percentage completed. The percentage is multiplied by total aid for which the student is eligible to determine the amount of aid earned (% completed x total aid = earned aid). Total aid – earned aid = unearned aid (aid to be returned).</w:t>
      </w:r>
    </w:p>
    <w:p w:rsidR="00F27629" w:rsidRPr="004E3BE7" w:rsidRDefault="00F27629" w:rsidP="00F27629">
      <w:pPr>
        <w:shd w:val="clear" w:color="auto" w:fill="FFFFFF"/>
        <w:spacing w:before="100" w:beforeAutospacing="1" w:after="100" w:afterAutospacing="1" w:line="240" w:lineRule="auto"/>
        <w:rPr>
          <w:rFonts w:eastAsia="Times New Roman" w:cstheme="minorHAnsi"/>
          <w:color w:val="000000"/>
          <w:sz w:val="24"/>
          <w:szCs w:val="24"/>
        </w:rPr>
      </w:pPr>
      <w:r w:rsidRPr="004E3BE7">
        <w:rPr>
          <w:rFonts w:eastAsia="Times New Roman" w:cstheme="minorHAnsi"/>
          <w:color w:val="000000"/>
          <w:sz w:val="24"/>
          <w:szCs w:val="24"/>
        </w:rPr>
        <w:t>Step 2) The next step is for the school to determine total institutional charges and multiply that figure by the percentage of unearned aid (100% - % completed = % unearned). It makes no difference which type of resource actually paid the school bill; the law assumes that Title IV aid goes first to pay the institutional charges. Institutional charges x % unearned = amount returned by school.</w:t>
      </w:r>
    </w:p>
    <w:p w:rsidR="00F27629" w:rsidRPr="004E3BE7" w:rsidRDefault="00F27629" w:rsidP="00F27629">
      <w:pPr>
        <w:shd w:val="clear" w:color="auto" w:fill="FFFFFF"/>
        <w:spacing w:before="100" w:beforeAutospacing="1" w:after="100" w:afterAutospacing="1" w:line="240" w:lineRule="auto"/>
        <w:rPr>
          <w:rFonts w:eastAsia="Times New Roman" w:cstheme="minorHAnsi"/>
          <w:color w:val="000000"/>
          <w:sz w:val="24"/>
          <w:szCs w:val="24"/>
        </w:rPr>
      </w:pPr>
      <w:r w:rsidRPr="004E3BE7">
        <w:rPr>
          <w:rFonts w:eastAsia="Times New Roman" w:cstheme="minorHAnsi"/>
          <w:color w:val="000000"/>
          <w:sz w:val="24"/>
          <w:szCs w:val="24"/>
        </w:rPr>
        <w:t>The school must then return the amount of unearned aid, up to the maximum received, to each of the Title IV programs in the following order:</w:t>
      </w:r>
    </w:p>
    <w:p w:rsidR="00F27629" w:rsidRPr="004E3BE7" w:rsidRDefault="00F27629" w:rsidP="00F27629">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E3BE7">
        <w:rPr>
          <w:rFonts w:eastAsia="Times New Roman" w:cstheme="minorHAnsi"/>
          <w:color w:val="000000"/>
          <w:sz w:val="24"/>
          <w:szCs w:val="24"/>
        </w:rPr>
        <w:t>Unsubsidized Direct Stafford Loan</w:t>
      </w:r>
    </w:p>
    <w:p w:rsidR="00F27629" w:rsidRPr="004E3BE7" w:rsidRDefault="00F27629" w:rsidP="00F27629">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E3BE7">
        <w:rPr>
          <w:rFonts w:eastAsia="Times New Roman" w:cstheme="minorHAnsi"/>
          <w:color w:val="000000"/>
          <w:sz w:val="24"/>
          <w:szCs w:val="24"/>
        </w:rPr>
        <w:t>Subsidized Direct Stafford Loan</w:t>
      </w:r>
    </w:p>
    <w:p w:rsidR="00F27629" w:rsidRPr="004E3BE7" w:rsidRDefault="00F27629" w:rsidP="00F27629">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E3BE7">
        <w:rPr>
          <w:rFonts w:eastAsia="Times New Roman" w:cstheme="minorHAnsi"/>
          <w:color w:val="000000"/>
          <w:sz w:val="24"/>
          <w:szCs w:val="24"/>
        </w:rPr>
        <w:t>Federal Perkins Loan (Valencia does not participate)</w:t>
      </w:r>
    </w:p>
    <w:p w:rsidR="00F27629" w:rsidRPr="004E3BE7" w:rsidRDefault="00F27629" w:rsidP="00F27629">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E3BE7">
        <w:rPr>
          <w:rFonts w:eastAsia="Times New Roman" w:cstheme="minorHAnsi"/>
          <w:color w:val="000000"/>
          <w:sz w:val="24"/>
          <w:szCs w:val="24"/>
        </w:rPr>
        <w:t>Direct PLUS Loan</w:t>
      </w:r>
    </w:p>
    <w:p w:rsidR="00F27629" w:rsidRPr="004E3BE7" w:rsidRDefault="00F27629" w:rsidP="00F27629">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E3BE7">
        <w:rPr>
          <w:rFonts w:eastAsia="Times New Roman" w:cstheme="minorHAnsi"/>
          <w:color w:val="000000"/>
          <w:sz w:val="24"/>
          <w:szCs w:val="24"/>
        </w:rPr>
        <w:t>Federal Pell Grant</w:t>
      </w:r>
    </w:p>
    <w:p w:rsidR="00F27629" w:rsidRPr="004E3BE7" w:rsidRDefault="00F27629" w:rsidP="00F27629">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E3BE7">
        <w:rPr>
          <w:rFonts w:eastAsia="Times New Roman" w:cstheme="minorHAnsi"/>
          <w:color w:val="000000"/>
          <w:sz w:val="24"/>
          <w:szCs w:val="24"/>
        </w:rPr>
        <w:t>Federal Supplemental Education Opportunity Grant (SEOG)</w:t>
      </w:r>
    </w:p>
    <w:p w:rsidR="00F27629" w:rsidRPr="004E3BE7" w:rsidRDefault="00F27629" w:rsidP="00F27629">
      <w:pPr>
        <w:shd w:val="clear" w:color="auto" w:fill="FFFFFF"/>
        <w:spacing w:before="100" w:beforeAutospacing="1" w:after="100" w:afterAutospacing="1" w:line="240" w:lineRule="auto"/>
        <w:rPr>
          <w:rFonts w:eastAsia="Times New Roman" w:cstheme="minorHAnsi"/>
          <w:color w:val="000000"/>
          <w:sz w:val="24"/>
          <w:szCs w:val="24"/>
        </w:rPr>
      </w:pPr>
      <w:r w:rsidRPr="004E3BE7">
        <w:rPr>
          <w:rFonts w:eastAsia="Times New Roman" w:cstheme="minorHAnsi"/>
          <w:color w:val="000000"/>
          <w:sz w:val="24"/>
          <w:szCs w:val="24"/>
        </w:rPr>
        <w:t xml:space="preserve">Step 3) The school then calculates the amount for which the student is responsible by subtracting the amount returned by the school from the total amount which is unearned. That </w:t>
      </w:r>
      <w:r w:rsidRPr="004E3BE7">
        <w:rPr>
          <w:rFonts w:eastAsia="Times New Roman" w:cstheme="minorHAnsi"/>
          <w:color w:val="000000"/>
          <w:sz w:val="24"/>
          <w:szCs w:val="24"/>
        </w:rPr>
        <w:lastRenderedPageBreak/>
        <w:t>remaining amount is the student’s share and is allocated in the same order as above. Total amount unearned – amount returned by school = $ amount the student is required to return to Title IV funds.</w:t>
      </w:r>
    </w:p>
    <w:p w:rsidR="00F27629" w:rsidRPr="004E3BE7" w:rsidRDefault="00F27629" w:rsidP="00F27629">
      <w:pPr>
        <w:rPr>
          <w:rFonts w:cstheme="minorHAnsi"/>
          <w:sz w:val="24"/>
          <w:szCs w:val="24"/>
        </w:rPr>
      </w:pPr>
      <w:r w:rsidRPr="004E3BE7">
        <w:rPr>
          <w:rFonts w:cstheme="minorHAnsi"/>
          <w:sz w:val="24"/>
          <w:szCs w:val="24"/>
        </w:rPr>
        <w:t>*Tuition/fee waivers must be excluded when calculating R2T4.</w:t>
      </w:r>
    </w:p>
    <w:p w:rsidR="00B85B4D" w:rsidRDefault="00B85B4D" w:rsidP="00F27629">
      <w:pPr>
        <w:tabs>
          <w:tab w:val="left" w:pos="0"/>
          <w:tab w:val="left" w:pos="720"/>
          <w:tab w:val="left" w:pos="1440"/>
          <w:tab w:val="left" w:pos="2160"/>
          <w:tab w:val="left" w:pos="2736"/>
          <w:tab w:val="left" w:pos="8784"/>
        </w:tabs>
      </w:pPr>
    </w:p>
    <w:sectPr w:rsidR="00B85B4D" w:rsidSect="004E3BE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A192A"/>
    <w:multiLevelType w:val="multilevel"/>
    <w:tmpl w:val="3B6E55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4F8F70D6"/>
    <w:multiLevelType w:val="multilevel"/>
    <w:tmpl w:val="030C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4D"/>
    <w:rsid w:val="00177846"/>
    <w:rsid w:val="004E3BE7"/>
    <w:rsid w:val="00B85B4D"/>
    <w:rsid w:val="00F2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D919"/>
  <w15:chartTrackingRefBased/>
  <w15:docId w15:val="{639155ED-668C-464F-94FC-B9194C41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Saraceno</dc:creator>
  <cp:keywords/>
  <dc:description/>
  <cp:lastModifiedBy>Victoria Saraceno</cp:lastModifiedBy>
  <cp:revision>3</cp:revision>
  <dcterms:created xsi:type="dcterms:W3CDTF">2019-11-04T19:40:00Z</dcterms:created>
  <dcterms:modified xsi:type="dcterms:W3CDTF">2019-11-25T15:35:00Z</dcterms:modified>
</cp:coreProperties>
</file>